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EF" w:rsidRDefault="00A47840">
      <w:pPr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sz w:val="26"/>
        </w:rPr>
        <w:t>О работе с обращениями граждан</w:t>
      </w:r>
    </w:p>
    <w:p w:rsidR="002514EF" w:rsidRDefault="00A47840">
      <w:pPr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</w:rPr>
        <w:t>в Правительстве Курганской области в 2022 году</w:t>
      </w:r>
    </w:p>
    <w:p w:rsidR="002514EF" w:rsidRDefault="002514EF">
      <w:pPr>
        <w:spacing w:after="0" w:line="240" w:lineRule="auto"/>
        <w:rPr>
          <w:rFonts w:ascii="Arial" w:hAnsi="Arial"/>
          <w:sz w:val="26"/>
        </w:rPr>
      </w:pP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В 2022 году в Правительство Курганской области поступило 4049 обращений граждан.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Из них в электронном виде поступило 2774 обращения, в письменной форме поступило 1275 обращени</w:t>
      </w:r>
      <w:r>
        <w:rPr>
          <w:rFonts w:ascii="Arial" w:hAnsi="Arial"/>
          <w:sz w:val="26"/>
        </w:rPr>
        <w:t>я.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Из вышестоящих и иных организаций поступило 1880 обращений граждан, в том числе 1302 обращений из Управления Президента Российской Федерации по работе с обращениями граждан и организаций.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  <w:u w:val="single"/>
        </w:rPr>
        <w:t>За указанный период от жителей города Кургана поступило 1611 обра</w:t>
      </w:r>
      <w:r>
        <w:rPr>
          <w:rFonts w:ascii="Arial" w:hAnsi="Arial"/>
          <w:sz w:val="26"/>
          <w:u w:val="single"/>
        </w:rPr>
        <w:t>щений граждан. Из муниципальных округов Курганской области поступило обращений: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Альменевский</w:t>
      </w:r>
      <w:proofErr w:type="spellEnd"/>
      <w:r>
        <w:rPr>
          <w:rFonts w:ascii="Arial" w:hAnsi="Arial"/>
          <w:sz w:val="26"/>
        </w:rPr>
        <w:t xml:space="preserve"> муниципальный округ – 16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Белозерский муниципальный округ – 41 обращение,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Варгашинский</w:t>
      </w:r>
      <w:proofErr w:type="spellEnd"/>
      <w:r>
        <w:rPr>
          <w:rFonts w:ascii="Arial" w:hAnsi="Arial"/>
          <w:sz w:val="26"/>
        </w:rPr>
        <w:t xml:space="preserve"> муниципальный округ – 44 обращения,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Далматовский</w:t>
      </w:r>
      <w:proofErr w:type="spellEnd"/>
      <w:r>
        <w:rPr>
          <w:rFonts w:ascii="Arial" w:hAnsi="Arial"/>
          <w:sz w:val="26"/>
        </w:rPr>
        <w:t xml:space="preserve"> муниципальный окр</w:t>
      </w:r>
      <w:r>
        <w:rPr>
          <w:rFonts w:ascii="Arial" w:hAnsi="Arial"/>
          <w:sz w:val="26"/>
        </w:rPr>
        <w:t>уг – 70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Звериноголовский</w:t>
      </w:r>
      <w:proofErr w:type="spellEnd"/>
      <w:r>
        <w:rPr>
          <w:rFonts w:ascii="Arial" w:hAnsi="Arial"/>
          <w:sz w:val="26"/>
        </w:rPr>
        <w:t xml:space="preserve"> муниципальный округ – 26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Каргапольский</w:t>
      </w:r>
      <w:proofErr w:type="spellEnd"/>
      <w:r>
        <w:rPr>
          <w:rFonts w:ascii="Arial" w:hAnsi="Arial"/>
          <w:sz w:val="26"/>
        </w:rPr>
        <w:t xml:space="preserve"> муниципальный округ – 61 обращение,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Катайский</w:t>
      </w:r>
      <w:proofErr w:type="spellEnd"/>
      <w:r>
        <w:rPr>
          <w:rFonts w:ascii="Arial" w:hAnsi="Arial"/>
          <w:sz w:val="26"/>
        </w:rPr>
        <w:t xml:space="preserve"> муниципальный округ – 91 обращение,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Кетовский</w:t>
      </w:r>
      <w:proofErr w:type="spellEnd"/>
      <w:r>
        <w:rPr>
          <w:rFonts w:ascii="Arial" w:hAnsi="Arial"/>
          <w:sz w:val="26"/>
        </w:rPr>
        <w:t xml:space="preserve"> муниципальный округ – 197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Куртамышский</w:t>
      </w:r>
      <w:proofErr w:type="spellEnd"/>
      <w:r>
        <w:rPr>
          <w:rFonts w:ascii="Arial" w:hAnsi="Arial"/>
          <w:sz w:val="26"/>
        </w:rPr>
        <w:t xml:space="preserve"> муниципальный округ – 71 обр</w:t>
      </w:r>
      <w:r>
        <w:rPr>
          <w:rFonts w:ascii="Arial" w:hAnsi="Arial"/>
          <w:sz w:val="26"/>
        </w:rPr>
        <w:t>ащение,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Лебяжьевский</w:t>
      </w:r>
      <w:proofErr w:type="spellEnd"/>
      <w:r>
        <w:rPr>
          <w:rFonts w:ascii="Arial" w:hAnsi="Arial"/>
          <w:sz w:val="26"/>
        </w:rPr>
        <w:t xml:space="preserve"> муниципальный округ – 24 обращения,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Макушинский</w:t>
      </w:r>
      <w:proofErr w:type="spellEnd"/>
      <w:r>
        <w:rPr>
          <w:rFonts w:ascii="Arial" w:hAnsi="Arial"/>
          <w:sz w:val="26"/>
        </w:rPr>
        <w:t xml:space="preserve"> муниципальный округ – 46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Мишкинский</w:t>
      </w:r>
      <w:proofErr w:type="spellEnd"/>
      <w:r>
        <w:rPr>
          <w:rFonts w:ascii="Arial" w:hAnsi="Arial"/>
          <w:sz w:val="26"/>
        </w:rPr>
        <w:t xml:space="preserve"> муниципальный округ – 24 обращения,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Мокроусовский</w:t>
      </w:r>
      <w:proofErr w:type="spellEnd"/>
      <w:r>
        <w:rPr>
          <w:rFonts w:ascii="Arial" w:hAnsi="Arial"/>
          <w:sz w:val="26"/>
        </w:rPr>
        <w:t xml:space="preserve"> муниципальный округ – 32 обращения,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Петуховский</w:t>
      </w:r>
      <w:proofErr w:type="spellEnd"/>
      <w:r>
        <w:rPr>
          <w:rFonts w:ascii="Arial" w:hAnsi="Arial"/>
          <w:sz w:val="26"/>
        </w:rPr>
        <w:t xml:space="preserve"> муниципальный округ – 48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Полови</w:t>
      </w:r>
      <w:r>
        <w:rPr>
          <w:rFonts w:ascii="Arial" w:hAnsi="Arial"/>
          <w:sz w:val="26"/>
        </w:rPr>
        <w:t>нский</w:t>
      </w:r>
      <w:proofErr w:type="spellEnd"/>
      <w:r>
        <w:rPr>
          <w:rFonts w:ascii="Arial" w:hAnsi="Arial"/>
          <w:sz w:val="26"/>
        </w:rPr>
        <w:t xml:space="preserve"> муниципальный округ – 19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Притобольный</w:t>
      </w:r>
      <w:proofErr w:type="spellEnd"/>
      <w:r>
        <w:rPr>
          <w:rFonts w:ascii="Arial" w:hAnsi="Arial"/>
          <w:sz w:val="26"/>
        </w:rPr>
        <w:t xml:space="preserve"> муниципальный округ – 28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Сафакулевский</w:t>
      </w:r>
      <w:proofErr w:type="spellEnd"/>
      <w:r>
        <w:rPr>
          <w:rFonts w:ascii="Arial" w:hAnsi="Arial"/>
          <w:sz w:val="26"/>
        </w:rPr>
        <w:t xml:space="preserve"> муниципальный округ – 26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Целинный муниципальный округ – 24 обращения,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Частоозерский</w:t>
      </w:r>
      <w:proofErr w:type="spellEnd"/>
      <w:r>
        <w:rPr>
          <w:rFonts w:ascii="Arial" w:hAnsi="Arial"/>
          <w:sz w:val="26"/>
        </w:rPr>
        <w:t xml:space="preserve"> муниципальный округ – 11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Шадринский</w:t>
      </w:r>
      <w:proofErr w:type="spellEnd"/>
      <w:r>
        <w:rPr>
          <w:rFonts w:ascii="Arial" w:hAnsi="Arial"/>
          <w:sz w:val="26"/>
        </w:rPr>
        <w:t xml:space="preserve"> муниципальный округ – 337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Шатровский</w:t>
      </w:r>
      <w:proofErr w:type="spellEnd"/>
      <w:r>
        <w:rPr>
          <w:rFonts w:ascii="Arial" w:hAnsi="Arial"/>
          <w:sz w:val="26"/>
        </w:rPr>
        <w:t xml:space="preserve"> муниципальный округ – 45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Шумихинский муниципальный округ – 87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Щучанский</w:t>
      </w:r>
      <w:proofErr w:type="spellEnd"/>
      <w:r>
        <w:rPr>
          <w:rFonts w:ascii="Arial" w:hAnsi="Arial"/>
          <w:sz w:val="26"/>
        </w:rPr>
        <w:t xml:space="preserve"> муниципальный округ – 67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Юргамышский</w:t>
      </w:r>
      <w:proofErr w:type="spellEnd"/>
      <w:r>
        <w:rPr>
          <w:rFonts w:ascii="Arial" w:hAnsi="Arial"/>
          <w:sz w:val="26"/>
        </w:rPr>
        <w:t xml:space="preserve"> муниципальный округ – 36 обращений.</w:t>
      </w:r>
    </w:p>
    <w:p w:rsidR="002514EF" w:rsidRDefault="002514EF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  <w:u w:val="single"/>
        </w:rPr>
      </w:pP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  <w:u w:val="single"/>
        </w:rPr>
      </w:pPr>
      <w:r>
        <w:rPr>
          <w:rFonts w:ascii="Arial" w:hAnsi="Arial"/>
          <w:sz w:val="26"/>
          <w:u w:val="single"/>
        </w:rPr>
        <w:t>По тематике наибол</w:t>
      </w:r>
      <w:r>
        <w:rPr>
          <w:rFonts w:ascii="Arial" w:hAnsi="Arial"/>
          <w:sz w:val="26"/>
          <w:u w:val="single"/>
        </w:rPr>
        <w:t>ьшее количество письменных обращений граждан                в Правительство Курганской области были связаны с вопросами: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жилищно-коммунальной сферы;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социального обеспечения;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здравоохранения;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повышения цен на продукты питания, обеспечения жильём льготных ка</w:t>
      </w:r>
      <w:r>
        <w:rPr>
          <w:rFonts w:ascii="Arial" w:hAnsi="Arial"/>
          <w:sz w:val="26"/>
        </w:rPr>
        <w:t>тегорий граждан, материальной и социальной помощи в трудной жизненной ситуации, несогласия с отказом в выплате детских пособий;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предоставления материальной и социальной помощи пострадавшим от пожара;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proofErr w:type="gramStart"/>
      <w:r>
        <w:rPr>
          <w:rFonts w:ascii="Arial" w:hAnsi="Arial"/>
          <w:sz w:val="26"/>
        </w:rPr>
        <w:t>связанными</w:t>
      </w:r>
      <w:proofErr w:type="gramEnd"/>
      <w:r>
        <w:rPr>
          <w:rFonts w:ascii="Arial" w:hAnsi="Arial"/>
          <w:sz w:val="26"/>
        </w:rPr>
        <w:t xml:space="preserve"> с частичной мобилизацией;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proofErr w:type="gramStart"/>
      <w:r>
        <w:rPr>
          <w:rFonts w:ascii="Arial" w:hAnsi="Arial"/>
          <w:sz w:val="26"/>
        </w:rPr>
        <w:t>связанным</w:t>
      </w:r>
      <w:r>
        <w:rPr>
          <w:rFonts w:ascii="Arial" w:hAnsi="Arial"/>
          <w:sz w:val="26"/>
        </w:rPr>
        <w:t>и</w:t>
      </w:r>
      <w:proofErr w:type="gramEnd"/>
      <w:r>
        <w:rPr>
          <w:rFonts w:ascii="Arial" w:hAnsi="Arial"/>
          <w:sz w:val="26"/>
        </w:rPr>
        <w:t xml:space="preserve"> с благоустройством территорий;</w:t>
      </w:r>
    </w:p>
    <w:p w:rsidR="002514EF" w:rsidRDefault="00A478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бесплатной газификации.</w:t>
      </w:r>
    </w:p>
    <w:p w:rsidR="002514EF" w:rsidRDefault="00A47840">
      <w:pPr>
        <w:spacing w:after="0"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br/>
      </w:r>
      <w:r>
        <w:rPr>
          <w:rFonts w:ascii="Arial" w:hAnsi="Arial"/>
          <w:sz w:val="26"/>
        </w:rPr>
        <w:tab/>
        <w:t xml:space="preserve">Наибольшее количество обращений граждан были направлены                  по компетенции </w:t>
      </w:r>
      <w:proofErr w:type="gramStart"/>
      <w:r>
        <w:rPr>
          <w:rFonts w:ascii="Arial" w:hAnsi="Arial"/>
          <w:sz w:val="26"/>
        </w:rPr>
        <w:t>в</w:t>
      </w:r>
      <w:proofErr w:type="gramEnd"/>
      <w:r>
        <w:rPr>
          <w:rFonts w:ascii="Arial" w:hAnsi="Arial"/>
          <w:sz w:val="26"/>
        </w:rPr>
        <w:t xml:space="preserve">: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 xml:space="preserve">Главное управление социальной защиты населения Курганской области – 541,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 xml:space="preserve">Администрацию города Кургана – </w:t>
      </w:r>
      <w:r>
        <w:rPr>
          <w:rFonts w:ascii="Arial" w:hAnsi="Arial"/>
          <w:sz w:val="26"/>
        </w:rPr>
        <w:t xml:space="preserve">500 обращений,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>Департамент здравоохранения Курганской области – 306 обращений,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>Военный комиссариат Курганской области – 241 обращение,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 xml:space="preserve">Департамент образования и науки Курганской области – 171 обращение,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>Департамент гражданской защиты, охраны окружающей с</w:t>
      </w:r>
      <w:r>
        <w:rPr>
          <w:rFonts w:ascii="Arial" w:hAnsi="Arial"/>
          <w:sz w:val="26"/>
        </w:rPr>
        <w:t xml:space="preserve">реды и природных ресурсов Курганской области – 133 обращения,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 xml:space="preserve">Государственную жилищную инспекцию Курганской области – 130 обращений,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 xml:space="preserve">Департамент строительства, </w:t>
      </w:r>
      <w:proofErr w:type="spellStart"/>
      <w:r>
        <w:rPr>
          <w:rFonts w:ascii="Arial" w:hAnsi="Arial"/>
          <w:sz w:val="26"/>
        </w:rPr>
        <w:t>госэкспертизы</w:t>
      </w:r>
      <w:proofErr w:type="spellEnd"/>
      <w:r>
        <w:rPr>
          <w:rFonts w:ascii="Arial" w:hAnsi="Arial"/>
          <w:sz w:val="26"/>
        </w:rPr>
        <w:t xml:space="preserve"> и жилищно-коммунального хозяйства Курганской области – 112 обращений, 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</w:rPr>
        <w:t>Администр</w:t>
      </w:r>
      <w:r>
        <w:rPr>
          <w:rFonts w:ascii="Arial" w:hAnsi="Arial"/>
          <w:sz w:val="26"/>
        </w:rPr>
        <w:t>ацию города Шадринска – 95 обращений.</w:t>
      </w:r>
    </w:p>
    <w:p w:rsidR="002514EF" w:rsidRDefault="002514EF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:rsidR="002514EF" w:rsidRDefault="00A47840">
      <w:p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На официальный сайт Правительства Курганской области в интернет-приемную за указанный период поступило 864 обращения граждан, на официальную электронную почту Правительства Курганской области поступило 460</w:t>
      </w:r>
      <w:r>
        <w:rPr>
          <w:rFonts w:ascii="Arial" w:hAnsi="Arial"/>
          <w:sz w:val="26"/>
        </w:rPr>
        <w:t xml:space="preserve"> обращений граждан.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2022 году в общественную приемную Губернатора Курганской области устно обратились 1120 граждан.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 тематике наибольшее количество устных обращений граждан                  в Правительство Курганской области были связаны с вопросами: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1</w:t>
      </w:r>
      <w:r>
        <w:rPr>
          <w:rFonts w:ascii="Arial" w:hAnsi="Arial"/>
          <w:sz w:val="26"/>
        </w:rPr>
        <w:t>) жилищно-коммунальной сферы – 338 обращений;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2) социального обеспечения – 125 обращений;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3) здравоохранения – 70 обращений;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4) работы предприятий всех форм собственности – 34 обращения;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5) информационно-справочная информация – 506 обращений;</w:t>
      </w: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6) вопросы, с</w:t>
      </w:r>
      <w:r>
        <w:rPr>
          <w:rFonts w:ascii="Arial" w:hAnsi="Arial"/>
          <w:sz w:val="26"/>
        </w:rPr>
        <w:t>вязанные с частичной мобилизацией – 20 обращений.</w:t>
      </w:r>
    </w:p>
    <w:p w:rsidR="002514EF" w:rsidRDefault="002514EF">
      <w:pPr>
        <w:spacing w:after="0" w:line="240" w:lineRule="auto"/>
        <w:jc w:val="both"/>
        <w:rPr>
          <w:rFonts w:ascii="Arial" w:hAnsi="Arial"/>
          <w:sz w:val="26"/>
        </w:rPr>
      </w:pPr>
    </w:p>
    <w:p w:rsidR="002514EF" w:rsidRDefault="00A47840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Поступали вопросы граждан по благоустройству территорий, уличному освещению, транспортной реформе, о ненадлежащем качестве оказания жилищно-коммунальных услуг, об уборке снега, о бесплатном подведении газа</w:t>
      </w:r>
      <w:r>
        <w:rPr>
          <w:rFonts w:ascii="Arial" w:hAnsi="Arial"/>
          <w:sz w:val="26"/>
        </w:rPr>
        <w:t xml:space="preserve"> в дом, о задержке выдачи льготных лекарств, о росте цен, об отсутствии автобусного сообщения, о ремонте дорог, о материальной и социальной помощи погорельцам.</w:t>
      </w:r>
    </w:p>
    <w:p w:rsidR="002514EF" w:rsidRDefault="00A47840">
      <w:pPr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Все поступившие обращения граждан рассмотрены в соответствии     с требованиями законо</w:t>
      </w:r>
      <w:r>
        <w:rPr>
          <w:rFonts w:ascii="Arial" w:hAnsi="Arial"/>
          <w:sz w:val="26"/>
        </w:rPr>
        <w:t>дательства.</w:t>
      </w:r>
    </w:p>
    <w:sectPr w:rsidR="002514EF"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40" w:rsidRDefault="00A47840">
      <w:pPr>
        <w:spacing w:after="0" w:line="240" w:lineRule="auto"/>
      </w:pPr>
      <w:r>
        <w:separator/>
      </w:r>
    </w:p>
  </w:endnote>
  <w:endnote w:type="continuationSeparator" w:id="0">
    <w:p w:rsidR="00A47840" w:rsidRDefault="00A4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40" w:rsidRDefault="00A47840">
      <w:pPr>
        <w:spacing w:after="0" w:line="240" w:lineRule="auto"/>
      </w:pPr>
      <w:r>
        <w:separator/>
      </w:r>
    </w:p>
  </w:footnote>
  <w:footnote w:type="continuationSeparator" w:id="0">
    <w:p w:rsidR="00A47840" w:rsidRDefault="00A4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367"/>
    <w:multiLevelType w:val="hybridMultilevel"/>
    <w:tmpl w:val="66507298"/>
    <w:lvl w:ilvl="0" w:tplc="92FAF118">
      <w:start w:val="1"/>
      <w:numFmt w:val="decimal"/>
      <w:lvlText w:val="%1)"/>
      <w:lvlJc w:val="left"/>
      <w:pPr>
        <w:ind w:left="1068" w:hanging="360"/>
      </w:pPr>
    </w:lvl>
    <w:lvl w:ilvl="1" w:tplc="D40EBE5A">
      <w:start w:val="1"/>
      <w:numFmt w:val="lowerLetter"/>
      <w:lvlText w:val="%2."/>
      <w:lvlJc w:val="left"/>
      <w:pPr>
        <w:ind w:left="1788" w:hanging="360"/>
      </w:pPr>
    </w:lvl>
    <w:lvl w:ilvl="2" w:tplc="0638E6A0">
      <w:start w:val="1"/>
      <w:numFmt w:val="lowerRoman"/>
      <w:lvlText w:val="%3."/>
      <w:lvlJc w:val="right"/>
      <w:pPr>
        <w:ind w:left="2508" w:hanging="180"/>
      </w:pPr>
    </w:lvl>
    <w:lvl w:ilvl="3" w:tplc="06C03A14">
      <w:start w:val="1"/>
      <w:numFmt w:val="decimal"/>
      <w:lvlText w:val="%4."/>
      <w:lvlJc w:val="left"/>
      <w:pPr>
        <w:ind w:left="3228" w:hanging="360"/>
      </w:pPr>
    </w:lvl>
    <w:lvl w:ilvl="4" w:tplc="5E429C90">
      <w:start w:val="1"/>
      <w:numFmt w:val="lowerLetter"/>
      <w:lvlText w:val="%5."/>
      <w:lvlJc w:val="left"/>
      <w:pPr>
        <w:ind w:left="3948" w:hanging="360"/>
      </w:pPr>
    </w:lvl>
    <w:lvl w:ilvl="5" w:tplc="C270DE0E">
      <w:start w:val="1"/>
      <w:numFmt w:val="lowerRoman"/>
      <w:lvlText w:val="%6."/>
      <w:lvlJc w:val="right"/>
      <w:pPr>
        <w:ind w:left="4668" w:hanging="180"/>
      </w:pPr>
    </w:lvl>
    <w:lvl w:ilvl="6" w:tplc="45B0EFF6">
      <w:start w:val="1"/>
      <w:numFmt w:val="decimal"/>
      <w:lvlText w:val="%7."/>
      <w:lvlJc w:val="left"/>
      <w:pPr>
        <w:ind w:left="5388" w:hanging="360"/>
      </w:pPr>
    </w:lvl>
    <w:lvl w:ilvl="7" w:tplc="551C7DB8">
      <w:start w:val="1"/>
      <w:numFmt w:val="lowerLetter"/>
      <w:lvlText w:val="%8."/>
      <w:lvlJc w:val="left"/>
      <w:pPr>
        <w:ind w:left="6108" w:hanging="360"/>
      </w:pPr>
    </w:lvl>
    <w:lvl w:ilvl="8" w:tplc="594C1E5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EF"/>
    <w:rsid w:val="000F6995"/>
    <w:rsid w:val="002514EF"/>
    <w:rsid w:val="00A4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6">
    <w:name w:val="Абзац с отступом"/>
    <w:basedOn w:val="a"/>
    <w:link w:val="af7"/>
    <w:pPr>
      <w:widowControl w:val="0"/>
      <w:spacing w:after="0" w:line="100" w:lineRule="atLeast"/>
      <w:ind w:firstLine="709"/>
      <w:jc w:val="both"/>
    </w:pPr>
    <w:rPr>
      <w:rFonts w:ascii="Arial" w:hAnsi="Arial"/>
      <w:sz w:val="24"/>
    </w:rPr>
  </w:style>
  <w:style w:type="character" w:customStyle="1" w:styleId="af7">
    <w:name w:val="Абзац с отступом"/>
    <w:basedOn w:val="1"/>
    <w:link w:val="af6"/>
    <w:rPr>
      <w:rFonts w:ascii="Arial" w:hAnsi="Arial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6">
    <w:name w:val="Абзац с отступом"/>
    <w:basedOn w:val="a"/>
    <w:link w:val="af7"/>
    <w:pPr>
      <w:widowControl w:val="0"/>
      <w:spacing w:after="0" w:line="100" w:lineRule="atLeast"/>
      <w:ind w:firstLine="709"/>
      <w:jc w:val="both"/>
    </w:pPr>
    <w:rPr>
      <w:rFonts w:ascii="Arial" w:hAnsi="Arial"/>
      <w:sz w:val="24"/>
    </w:rPr>
  </w:style>
  <w:style w:type="character" w:customStyle="1" w:styleId="af7">
    <w:name w:val="Абзац с отступом"/>
    <w:basedOn w:val="1"/>
    <w:link w:val="af6"/>
    <w:rPr>
      <w:rFonts w:ascii="Arial" w:hAnsi="Arial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Екимова</dc:creator>
  <cp:lastModifiedBy>Ольга А. Екимова</cp:lastModifiedBy>
  <cp:revision>2</cp:revision>
  <dcterms:created xsi:type="dcterms:W3CDTF">2023-05-12T12:37:00Z</dcterms:created>
  <dcterms:modified xsi:type="dcterms:W3CDTF">2023-05-12T12:37:00Z</dcterms:modified>
</cp:coreProperties>
</file>